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культурно-досуговой деятельности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 начальной школе</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ПК-8, ПК-5, ПК-6,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29.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Социальные функции и принципы культурно-досуговой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направления, формы и методы организации досуга</w:t>
            </w:r>
          </w:p>
        </w:tc>
      </w:tr>
      <w:tr>
        <w:trPr>
          <w:trHeight w:hRule="exact" w:val="1764.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педагогическом процессе. Роль культурно-досугов ой деятельности по предметам в работе с младшими школьниками.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технологии культурно-досуговой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Сценарные основы технологии культурно-досуговой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Специфика работы педагога по организации досуга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работы педагога по организации досуга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над замыслом культурно-досуговых программ. Композиционное построение сценария. Художественный монтаж сценария.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Общешкольные культурно -досуговые мероприятия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Использование современных технологий в организации культурно-досуговой деятельности с младшими школьниками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pPr>
              <w:jc w:val="both"/>
              <w:spacing w:after="0" w:line="240" w:lineRule="auto"/>
              <w:rPr>
                <w:sz w:val="24"/>
                <w:szCs w:val="24"/>
              </w:rPr>
            </w:pPr>
            <w:r>
              <w:rPr>
                <w:rFonts w:ascii="Times New Roman" w:hAnsi="Times New Roman" w:cs="Times New Roman"/>
                <w:color w:val="#000000"/>
                <w:sz w:val="24"/>
                <w:szCs w:val="24"/>
              </w:rPr>
              <w:t> 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Формы  организации  культурно-досуговой  деятельности  с младшими школьниками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и задачи курса «Культурно-досуговая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Значимость курса для повышения уровня профессионально-педагогической подготовки будущих учителей начальных классов.</w:t>
            </w:r>
          </w:p>
          <w:p>
            <w:pPr>
              <w:jc w:val="both"/>
              <w:spacing w:after="0" w:line="240" w:lineRule="auto"/>
              <w:rPr>
                <w:sz w:val="24"/>
                <w:szCs w:val="24"/>
              </w:rPr>
            </w:pPr>
            <w:r>
              <w:rPr>
                <w:rFonts w:ascii="Times New Roman" w:hAnsi="Times New Roman" w:cs="Times New Roman"/>
                <w:color w:val="#000000"/>
                <w:sz w:val="24"/>
                <w:szCs w:val="24"/>
              </w:rPr>
              <w:t> 3. Сущность культурно-досуговой деятельности.</w:t>
            </w:r>
          </w:p>
          <w:p>
            <w:pPr>
              <w:jc w:val="both"/>
              <w:spacing w:after="0" w:line="240" w:lineRule="auto"/>
              <w:rPr>
                <w:sz w:val="24"/>
                <w:szCs w:val="24"/>
              </w:rPr>
            </w:pPr>
            <w:r>
              <w:rPr>
                <w:rFonts w:ascii="Times New Roman" w:hAnsi="Times New Roman" w:cs="Times New Roman"/>
                <w:color w:val="#000000"/>
                <w:sz w:val="24"/>
                <w:szCs w:val="24"/>
              </w:rPr>
              <w:t> 4.  Специфика культурно-досуговой деятельности младших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Сценарные основы технологии культурно-досуговой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Внеклассная  работа  –одна  из  главных  форм  организации культурно- досуговой деятельности с младшими школьниками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Специфика работы педагога по организации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досуга.</w:t>
            </w:r>
          </w:p>
          <w:p>
            <w:pPr>
              <w:jc w:val="both"/>
              <w:spacing w:after="0" w:line="240" w:lineRule="auto"/>
              <w:rPr>
                <w:sz w:val="24"/>
                <w:szCs w:val="24"/>
              </w:rPr>
            </w:pPr>
            <w:r>
              <w:rPr>
                <w:rFonts w:ascii="Times New Roman" w:hAnsi="Times New Roman" w:cs="Times New Roman"/>
                <w:color w:val="#000000"/>
                <w:sz w:val="24"/>
                <w:szCs w:val="24"/>
              </w:rPr>
              <w:t> 2.Ведущие задачи педагога.</w:t>
            </w:r>
          </w:p>
          <w:p>
            <w:pPr>
              <w:jc w:val="both"/>
              <w:spacing w:after="0" w:line="240" w:lineRule="auto"/>
              <w:rPr>
                <w:sz w:val="24"/>
                <w:szCs w:val="24"/>
              </w:rPr>
            </w:pPr>
            <w:r>
              <w:rPr>
                <w:rFonts w:ascii="Times New Roman" w:hAnsi="Times New Roman" w:cs="Times New Roman"/>
                <w:color w:val="#000000"/>
                <w:sz w:val="24"/>
                <w:szCs w:val="24"/>
              </w:rPr>
              <w:t> 3.Функциональные обязанности педагога.</w:t>
            </w:r>
          </w:p>
          <w:p>
            <w:pPr>
              <w:jc w:val="both"/>
              <w:spacing w:after="0" w:line="240" w:lineRule="auto"/>
              <w:rPr>
                <w:sz w:val="24"/>
                <w:szCs w:val="24"/>
              </w:rPr>
            </w:pPr>
            <w:r>
              <w:rPr>
                <w:rFonts w:ascii="Times New Roman" w:hAnsi="Times New Roman" w:cs="Times New Roman"/>
                <w:color w:val="#000000"/>
                <w:sz w:val="24"/>
                <w:szCs w:val="24"/>
              </w:rPr>
              <w:t> 4.Цели и содержание работы педагога.</w:t>
            </w:r>
          </w:p>
          <w:p>
            <w:pPr>
              <w:jc w:val="both"/>
              <w:spacing w:after="0" w:line="240" w:lineRule="auto"/>
              <w:rPr>
                <w:sz w:val="24"/>
                <w:szCs w:val="24"/>
              </w:rPr>
            </w:pPr>
            <w:r>
              <w:rPr>
                <w:rFonts w:ascii="Times New Roman" w:hAnsi="Times New Roman" w:cs="Times New Roman"/>
                <w:color w:val="#000000"/>
                <w:sz w:val="24"/>
                <w:szCs w:val="24"/>
              </w:rPr>
              <w:t> 5.Организаторские функции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 работы педагога по организации досуга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Перспективный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2. Календарный план работы педагога.</w:t>
            </w:r>
          </w:p>
          <w:p>
            <w:pPr>
              <w:jc w:val="both"/>
              <w:spacing w:after="0" w:line="240" w:lineRule="auto"/>
              <w:rPr>
                <w:sz w:val="24"/>
                <w:szCs w:val="24"/>
              </w:rPr>
            </w:pPr>
            <w:r>
              <w:rPr>
                <w:rFonts w:ascii="Times New Roman" w:hAnsi="Times New Roman" w:cs="Times New Roman"/>
                <w:color w:val="#000000"/>
                <w:sz w:val="24"/>
                <w:szCs w:val="24"/>
              </w:rPr>
              <w:t> 3. План-график  и служебный дневник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Общешкольные внеклассные мероприятия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pPr>
              <w:jc w:val="both"/>
              <w:spacing w:after="0" w:line="240" w:lineRule="auto"/>
              <w:rPr>
                <w:sz w:val="24"/>
                <w:szCs w:val="24"/>
              </w:rPr>
            </w:pPr>
            <w:r>
              <w:rPr>
                <w:rFonts w:ascii="Times New Roman" w:hAnsi="Times New Roman" w:cs="Times New Roman"/>
                <w:color w:val="#000000"/>
                <w:sz w:val="24"/>
                <w:szCs w:val="24"/>
              </w:rPr>
              <w:t> 2.Как правильно организовать работу по выпуску экологических газет в каждом возрастном уровне?</w:t>
            </w:r>
          </w:p>
          <w:p>
            <w:pPr>
              <w:jc w:val="both"/>
              <w:spacing w:after="0" w:line="240" w:lineRule="auto"/>
              <w:rPr>
                <w:sz w:val="24"/>
                <w:szCs w:val="24"/>
              </w:rPr>
            </w:pPr>
            <w:r>
              <w:rPr>
                <w:rFonts w:ascii="Times New Roman" w:hAnsi="Times New Roman" w:cs="Times New Roman"/>
                <w:color w:val="#000000"/>
                <w:sz w:val="24"/>
                <w:szCs w:val="24"/>
              </w:rPr>
              <w:t> 3.Расскажите о правильной организации клубной работы по окружающему миру с учащимися начальных классов.</w:t>
            </w:r>
          </w:p>
          <w:p>
            <w:pPr>
              <w:jc w:val="both"/>
              <w:spacing w:after="0" w:line="240" w:lineRule="auto"/>
              <w:rPr>
                <w:sz w:val="24"/>
                <w:szCs w:val="24"/>
              </w:rPr>
            </w:pPr>
            <w:r>
              <w:rPr>
                <w:rFonts w:ascii="Times New Roman" w:hAnsi="Times New Roman" w:cs="Times New Roman"/>
                <w:color w:val="#000000"/>
                <w:sz w:val="24"/>
                <w:szCs w:val="24"/>
              </w:rPr>
              <w:t> 4.Как организуется и проводится Неделя экологии в школе с участием в ней младших школьников?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Игра в структуре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игры.</w:t>
            </w:r>
          </w:p>
          <w:p>
            <w:pPr>
              <w:jc w:val="both"/>
              <w:spacing w:after="0" w:line="240" w:lineRule="auto"/>
              <w:rPr>
                <w:sz w:val="24"/>
                <w:szCs w:val="24"/>
              </w:rPr>
            </w:pPr>
            <w:r>
              <w:rPr>
                <w:rFonts w:ascii="Times New Roman" w:hAnsi="Times New Roman" w:cs="Times New Roman"/>
                <w:color w:val="#000000"/>
                <w:sz w:val="24"/>
                <w:szCs w:val="24"/>
              </w:rPr>
              <w:t> 2.Игры как ведущая деятельность учащихся начальных классов.</w:t>
            </w:r>
          </w:p>
          <w:p>
            <w:pPr>
              <w:jc w:val="both"/>
              <w:spacing w:after="0" w:line="240" w:lineRule="auto"/>
              <w:rPr>
                <w:sz w:val="24"/>
                <w:szCs w:val="24"/>
              </w:rPr>
            </w:pPr>
            <w:r>
              <w:rPr>
                <w:rFonts w:ascii="Times New Roman" w:hAnsi="Times New Roman" w:cs="Times New Roman"/>
                <w:color w:val="#000000"/>
                <w:sz w:val="24"/>
                <w:szCs w:val="24"/>
              </w:rPr>
              <w:t> 3.  Виды игр.</w:t>
            </w:r>
          </w:p>
          <w:p>
            <w:pPr>
              <w:jc w:val="both"/>
              <w:spacing w:after="0" w:line="240" w:lineRule="auto"/>
              <w:rPr>
                <w:sz w:val="24"/>
                <w:szCs w:val="24"/>
              </w:rPr>
            </w:pPr>
            <w:r>
              <w:rPr>
                <w:rFonts w:ascii="Times New Roman" w:hAnsi="Times New Roman" w:cs="Times New Roman"/>
                <w:color w:val="#000000"/>
                <w:sz w:val="24"/>
                <w:szCs w:val="24"/>
              </w:rPr>
              <w:t> 4.  Составление игр и конкурсов.</w:t>
            </w:r>
          </w:p>
          <w:p>
            <w:pPr>
              <w:jc w:val="both"/>
              <w:spacing w:after="0" w:line="240" w:lineRule="auto"/>
              <w:rPr>
                <w:sz w:val="24"/>
                <w:szCs w:val="24"/>
              </w:rPr>
            </w:pPr>
            <w:r>
              <w:rPr>
                <w:rFonts w:ascii="Times New Roman" w:hAnsi="Times New Roman" w:cs="Times New Roman"/>
                <w:color w:val="#000000"/>
                <w:sz w:val="24"/>
                <w:szCs w:val="24"/>
              </w:rPr>
              <w:t> 5.  Организация и проведение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кружковой работы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1.Пояснительная записка к плану работы кружка.</w:t>
            </w:r>
          </w:p>
          <w:p>
            <w:pPr>
              <w:jc w:val="both"/>
              <w:spacing w:after="0" w:line="240" w:lineRule="auto"/>
              <w:rPr>
                <w:sz w:val="24"/>
                <w:szCs w:val="24"/>
              </w:rPr>
            </w:pPr>
            <w:r>
              <w:rPr>
                <w:rFonts w:ascii="Times New Roman" w:hAnsi="Times New Roman" w:cs="Times New Roman"/>
                <w:color w:val="#000000"/>
                <w:sz w:val="24"/>
                <w:szCs w:val="24"/>
              </w:rPr>
              <w:t> 2.Основные задачи кружка.</w:t>
            </w:r>
          </w:p>
          <w:p>
            <w:pPr>
              <w:jc w:val="both"/>
              <w:spacing w:after="0" w:line="240" w:lineRule="auto"/>
              <w:rPr>
                <w:sz w:val="24"/>
                <w:szCs w:val="24"/>
              </w:rPr>
            </w:pPr>
            <w:r>
              <w:rPr>
                <w:rFonts w:ascii="Times New Roman" w:hAnsi="Times New Roman" w:cs="Times New Roman"/>
                <w:color w:val="#000000"/>
                <w:sz w:val="24"/>
                <w:szCs w:val="24"/>
              </w:rPr>
              <w:t> 3.План работы кружка с количеством часов по разделам и темам.</w:t>
            </w:r>
          </w:p>
          <w:p>
            <w:pPr>
              <w:jc w:val="both"/>
              <w:spacing w:after="0" w:line="240" w:lineRule="auto"/>
              <w:rPr>
                <w:sz w:val="24"/>
                <w:szCs w:val="24"/>
              </w:rPr>
            </w:pPr>
            <w:r>
              <w:rPr>
                <w:rFonts w:ascii="Times New Roman" w:hAnsi="Times New Roman" w:cs="Times New Roman"/>
                <w:color w:val="#000000"/>
                <w:sz w:val="24"/>
                <w:szCs w:val="24"/>
              </w:rPr>
              <w:t> 4.Учет различных возрастных групп.</w:t>
            </w:r>
          </w:p>
          <w:p>
            <w:pPr>
              <w:jc w:val="both"/>
              <w:spacing w:after="0" w:line="240" w:lineRule="auto"/>
              <w:rPr>
                <w:sz w:val="24"/>
                <w:szCs w:val="24"/>
              </w:rPr>
            </w:pPr>
            <w:r>
              <w:rPr>
                <w:rFonts w:ascii="Times New Roman" w:hAnsi="Times New Roman" w:cs="Times New Roman"/>
                <w:color w:val="#000000"/>
                <w:sz w:val="24"/>
                <w:szCs w:val="24"/>
              </w:rPr>
              <w:t> 5.Материальное обеспечение и литература.</w:t>
            </w:r>
          </w:p>
          <w:p>
            <w:pPr>
              <w:jc w:val="both"/>
              <w:spacing w:after="0" w:line="240" w:lineRule="auto"/>
              <w:rPr>
                <w:sz w:val="24"/>
                <w:szCs w:val="24"/>
              </w:rPr>
            </w:pPr>
            <w:r>
              <w:rPr>
                <w:rFonts w:ascii="Times New Roman" w:hAnsi="Times New Roman" w:cs="Times New Roman"/>
                <w:color w:val="#000000"/>
                <w:sz w:val="24"/>
                <w:szCs w:val="24"/>
              </w:rPr>
              <w:t> 6.Составление конспекта занятия кружка.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Игра в структуре досуга. Сущность игры. Игры как деятельность.</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в структуре досуга. Сущность игры.</w:t>
            </w:r>
          </w:p>
          <w:p>
            <w:pPr>
              <w:jc w:val="both"/>
              <w:spacing w:after="0" w:line="240" w:lineRule="auto"/>
              <w:rPr>
                <w:sz w:val="24"/>
                <w:szCs w:val="24"/>
              </w:rPr>
            </w:pPr>
            <w:r>
              <w:rPr>
                <w:rFonts w:ascii="Times New Roman" w:hAnsi="Times New Roman" w:cs="Times New Roman"/>
                <w:color w:val="#000000"/>
                <w:sz w:val="24"/>
                <w:szCs w:val="24"/>
              </w:rPr>
              <w:t> 2.	Игры как деятельность.</w:t>
            </w:r>
          </w:p>
          <w:p>
            <w:pPr>
              <w:jc w:val="both"/>
              <w:spacing w:after="0" w:line="240" w:lineRule="auto"/>
              <w:rPr>
                <w:sz w:val="24"/>
                <w:szCs w:val="24"/>
              </w:rPr>
            </w:pPr>
            <w:r>
              <w:rPr>
                <w:rFonts w:ascii="Times New Roman" w:hAnsi="Times New Roman" w:cs="Times New Roman"/>
                <w:color w:val="#000000"/>
                <w:sz w:val="24"/>
                <w:szCs w:val="24"/>
              </w:rPr>
              <w:t> 3.	Виды игр. Составление игр и конкурсов. Организация и проведение игр.</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https://urait.ru/bcode/454019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https://urait.ru/bcode/454157</w:t>
            </w:r>
            <w:r>
              <w:rPr/>
              <w:t xml:space="preserve"> </w:t>
            </w:r>
          </w:p>
        </w:tc>
      </w:tr>
      <w:tr>
        <w:trPr>
          <w:trHeight w:hRule="exact" w:val="563.157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903"/>
        </w:trPr>
        <w:tc>
          <w:tcPr>
            <w:tcW w:w="9654" w:type="dxa"/>
            <w:tcBorders>
</w:tcBorders>
            <w:shd w:val="clear" w:color="#000000" w:fill="#FFFFFF"/>
            <w:vAlign w:val="top"/>
            <w:tcMar>
              <w:left w:w="34" w:type="dxa"/>
              <w:right w:w="34" w:type="dxa"/>
            </w:tcMar>
          </w:tcP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04.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11.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06.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2024-2025_ФГОС3++2024_Бак-ЗФО-ПО2(НОиИЯ)(24)_plx_Организация культурно-досуговой деятельности младших школьников</dc:title>
  <dc:creator>FastReport.NET</dc:creator>
</cp:coreProperties>
</file>